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1B22" w14:textId="77777777" w:rsidR="00DF6D57" w:rsidRPr="00DF6D57" w:rsidRDefault="00DF6D57" w:rsidP="00DF6D57">
      <w:pPr>
        <w:rPr>
          <w:sz w:val="24"/>
          <w:szCs w:val="24"/>
        </w:rPr>
      </w:pPr>
      <w:r w:rsidRPr="00DF6D57">
        <w:rPr>
          <w:sz w:val="24"/>
          <w:szCs w:val="24"/>
        </w:rPr>
        <w:t xml:space="preserve">Washington State requires consumer-owned utilities to complete a Clean Energy Implementation Plan (CEIP) by January 1, 2022. </w:t>
      </w:r>
    </w:p>
    <w:p w14:paraId="71D7034B" w14:textId="6B6CBA4E" w:rsidR="00DF6D57" w:rsidRPr="00DF6D57" w:rsidRDefault="00DF6D57" w:rsidP="00DF6D57">
      <w:pPr>
        <w:rPr>
          <w:sz w:val="24"/>
          <w:szCs w:val="24"/>
        </w:rPr>
      </w:pPr>
      <w:r w:rsidRPr="00DF6D57">
        <w:rPr>
          <w:sz w:val="24"/>
          <w:szCs w:val="24"/>
        </w:rPr>
        <w:t xml:space="preserve">The Plan describes our Utility’s compliance with the Washington State Clean Energy Transformation Act (CETA)’s requirements over the next four years. It also </w:t>
      </w:r>
      <w:r>
        <w:rPr>
          <w:sz w:val="24"/>
          <w:szCs w:val="24"/>
        </w:rPr>
        <w:t>requires identifying</w:t>
      </w:r>
      <w:r w:rsidRPr="00DF6D57">
        <w:rPr>
          <w:sz w:val="24"/>
          <w:szCs w:val="24"/>
        </w:rPr>
        <w:t xml:space="preserve"> </w:t>
      </w:r>
      <w:r>
        <w:rPr>
          <w:sz w:val="24"/>
          <w:szCs w:val="24"/>
        </w:rPr>
        <w:t>at-risk groups through a public process</w:t>
      </w:r>
      <w:r w:rsidRPr="00DF6D57">
        <w:rPr>
          <w:sz w:val="24"/>
          <w:szCs w:val="24"/>
        </w:rPr>
        <w:t xml:space="preserve">: </w:t>
      </w:r>
    </w:p>
    <w:p w14:paraId="60A6489C" w14:textId="77777777" w:rsidR="00DF6D57" w:rsidRPr="00DF6D57" w:rsidRDefault="00DF6D57" w:rsidP="00DF6D57">
      <w:pPr>
        <w:numPr>
          <w:ilvl w:val="0"/>
          <w:numId w:val="9"/>
        </w:numPr>
        <w:rPr>
          <w:sz w:val="24"/>
          <w:szCs w:val="24"/>
        </w:rPr>
      </w:pPr>
      <w:r w:rsidRPr="00DF6D57">
        <w:rPr>
          <w:sz w:val="24"/>
          <w:szCs w:val="24"/>
        </w:rPr>
        <w:t xml:space="preserve">vulnerable populations who may be affected by the costs and benefits of adopting CETA standards, and </w:t>
      </w:r>
    </w:p>
    <w:p w14:paraId="663C65F5" w14:textId="77777777" w:rsidR="00DF6D57" w:rsidRPr="00DF6D57" w:rsidRDefault="00DF6D57" w:rsidP="00DF6D57">
      <w:pPr>
        <w:numPr>
          <w:ilvl w:val="0"/>
          <w:numId w:val="9"/>
        </w:numPr>
        <w:rPr>
          <w:sz w:val="24"/>
          <w:szCs w:val="24"/>
        </w:rPr>
      </w:pPr>
      <w:r w:rsidRPr="00DF6D57">
        <w:rPr>
          <w:sz w:val="24"/>
          <w:szCs w:val="24"/>
        </w:rPr>
        <w:t>indicators of costs and benefits incurred through the adoption of CETA standards.</w:t>
      </w:r>
    </w:p>
    <w:p w14:paraId="36204750" w14:textId="77777777" w:rsidR="00DF6D57" w:rsidRPr="00DF6D57" w:rsidRDefault="00DF6D57" w:rsidP="00DF6D57">
      <w:pPr>
        <w:rPr>
          <w:sz w:val="24"/>
          <w:szCs w:val="24"/>
        </w:rPr>
      </w:pPr>
      <w:r w:rsidRPr="00DF6D57">
        <w:rPr>
          <w:sz w:val="24"/>
          <w:szCs w:val="24"/>
        </w:rPr>
        <w:t>We are currently taking comments on our Plan. If you would like to fill out our CETA CEIP Survey, please </w:t>
      </w:r>
      <w:hyperlink r:id="rId7" w:tgtFrame="_blank" w:history="1">
        <w:r w:rsidRPr="00DF6D57">
          <w:rPr>
            <w:rStyle w:val="Hyperlink"/>
            <w:sz w:val="24"/>
            <w:szCs w:val="24"/>
          </w:rPr>
          <w:t>download the attached word documen</w:t>
        </w:r>
      </w:hyperlink>
      <w:r w:rsidRPr="00DF6D57">
        <w:rPr>
          <w:sz w:val="24"/>
          <w:szCs w:val="24"/>
          <w:u w:val="single"/>
        </w:rPr>
        <w:t>t</w:t>
      </w:r>
      <w:r w:rsidRPr="00DF6D57">
        <w:rPr>
          <w:sz w:val="24"/>
          <w:szCs w:val="24"/>
        </w:rPr>
        <w:t>, fill it out, and email it back to </w:t>
      </w:r>
      <w:hyperlink r:id="rId8" w:history="1">
        <w:r w:rsidRPr="00DF6D57">
          <w:rPr>
            <w:rStyle w:val="Hyperlink"/>
            <w:sz w:val="24"/>
            <w:szCs w:val="24"/>
          </w:rPr>
          <w:t>gking@cityofpa.us</w:t>
        </w:r>
      </w:hyperlink>
      <w:r w:rsidRPr="00DF6D57">
        <w:rPr>
          <w:sz w:val="24"/>
          <w:szCs w:val="24"/>
        </w:rPr>
        <w:t>, by January 3, 2022.</w:t>
      </w:r>
    </w:p>
    <w:p w14:paraId="26A08FD2" w14:textId="77777777" w:rsidR="001943AF" w:rsidRDefault="001943AF" w:rsidP="0099490D">
      <w:pPr>
        <w:rPr>
          <w:b/>
          <w:bCs/>
          <w:sz w:val="24"/>
          <w:szCs w:val="24"/>
          <w:u w:val="single"/>
        </w:rPr>
      </w:pPr>
    </w:p>
    <w:p w14:paraId="64358C88" w14:textId="3E538EF8" w:rsidR="0099490D" w:rsidRPr="00A3143D" w:rsidRDefault="0099490D" w:rsidP="0099490D">
      <w:pPr>
        <w:rPr>
          <w:b/>
          <w:bCs/>
          <w:sz w:val="24"/>
          <w:szCs w:val="24"/>
          <w:u w:val="single"/>
        </w:rPr>
      </w:pPr>
      <w:r w:rsidRPr="00A3143D">
        <w:rPr>
          <w:b/>
          <w:bCs/>
          <w:sz w:val="24"/>
          <w:szCs w:val="24"/>
          <w:u w:val="single"/>
        </w:rPr>
        <w:t>CLEAN ENERGY TRANSFORMATION ACT (CETA)</w:t>
      </w:r>
    </w:p>
    <w:p w14:paraId="755D3BCF" w14:textId="5452896D" w:rsidR="0099490D" w:rsidRPr="00356502" w:rsidRDefault="0099490D" w:rsidP="0099490D">
      <w:pPr>
        <w:rPr>
          <w:sz w:val="24"/>
          <w:szCs w:val="24"/>
        </w:rPr>
      </w:pPr>
      <w:r w:rsidRPr="00356502">
        <w:rPr>
          <w:sz w:val="24"/>
          <w:szCs w:val="24"/>
        </w:rPr>
        <w:t>Sets Washington on a path towards clean energy</w:t>
      </w:r>
      <w:r w:rsidR="00356502">
        <w:rPr>
          <w:sz w:val="24"/>
          <w:szCs w:val="24"/>
        </w:rPr>
        <w:t>:</w:t>
      </w:r>
    </w:p>
    <w:p w14:paraId="14CC5E73" w14:textId="42B024A8" w:rsidR="0099490D" w:rsidRPr="00A3143D" w:rsidRDefault="0099490D" w:rsidP="00A3143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3143D">
        <w:rPr>
          <w:sz w:val="24"/>
          <w:szCs w:val="24"/>
        </w:rPr>
        <w:t>Coal-free by end of 2025</w:t>
      </w:r>
    </w:p>
    <w:p w14:paraId="41938A86" w14:textId="06ED0935" w:rsidR="0099490D" w:rsidRPr="00A3143D" w:rsidRDefault="0099490D" w:rsidP="00A3143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3143D">
        <w:rPr>
          <w:sz w:val="24"/>
          <w:szCs w:val="24"/>
        </w:rPr>
        <w:t>Greenhouse gas neutral by Jan 1, 2030</w:t>
      </w:r>
      <w:r w:rsidR="00356502" w:rsidRPr="00A3143D">
        <w:rPr>
          <w:sz w:val="24"/>
          <w:szCs w:val="24"/>
        </w:rPr>
        <w:t xml:space="preserve"> (</w:t>
      </w:r>
      <w:r w:rsidRPr="00A3143D">
        <w:rPr>
          <w:sz w:val="24"/>
          <w:szCs w:val="24"/>
        </w:rPr>
        <w:t>Up to 20% from alternative compliance mechanisms</w:t>
      </w:r>
      <w:r w:rsidR="00356502" w:rsidRPr="00A3143D">
        <w:rPr>
          <w:sz w:val="24"/>
          <w:szCs w:val="24"/>
        </w:rPr>
        <w:t>)</w:t>
      </w:r>
    </w:p>
    <w:p w14:paraId="54360222" w14:textId="0D15F344" w:rsidR="0099490D" w:rsidRPr="00A3143D" w:rsidRDefault="0099490D" w:rsidP="00A3143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3143D">
        <w:rPr>
          <w:sz w:val="24"/>
          <w:szCs w:val="24"/>
        </w:rPr>
        <w:t>100% Non-emitting / Renewable by Jan 1, 2045</w:t>
      </w:r>
    </w:p>
    <w:p w14:paraId="15E54B4C" w14:textId="7D6F0571" w:rsidR="0099490D" w:rsidRPr="00356502" w:rsidRDefault="0099490D" w:rsidP="0099490D">
      <w:pPr>
        <w:rPr>
          <w:sz w:val="24"/>
          <w:szCs w:val="24"/>
        </w:rPr>
      </w:pPr>
      <w:r w:rsidRPr="00356502">
        <w:rPr>
          <w:sz w:val="24"/>
          <w:szCs w:val="24"/>
        </w:rPr>
        <w:t>Includes provisions to ensure transition happen equitably,</w:t>
      </w:r>
      <w:r w:rsidR="00356502" w:rsidRPr="00356502">
        <w:rPr>
          <w:sz w:val="24"/>
          <w:szCs w:val="24"/>
        </w:rPr>
        <w:t xml:space="preserve"> </w:t>
      </w:r>
      <w:r w:rsidRPr="00356502">
        <w:rPr>
          <w:sz w:val="24"/>
          <w:szCs w:val="24"/>
        </w:rPr>
        <w:t>track &amp; reduce energy burdens</w:t>
      </w:r>
    </w:p>
    <w:p w14:paraId="6672D6F0" w14:textId="77777777" w:rsidR="00356502" w:rsidRDefault="00356502" w:rsidP="001378C0">
      <w:pPr>
        <w:rPr>
          <w:sz w:val="24"/>
          <w:szCs w:val="24"/>
        </w:rPr>
      </w:pPr>
    </w:p>
    <w:p w14:paraId="5964AC71" w14:textId="7580BA2A" w:rsidR="001378C0" w:rsidRPr="00A3143D" w:rsidRDefault="001378C0" w:rsidP="001378C0">
      <w:pPr>
        <w:rPr>
          <w:b/>
          <w:bCs/>
          <w:sz w:val="24"/>
          <w:szCs w:val="24"/>
          <w:u w:val="single"/>
        </w:rPr>
      </w:pPr>
      <w:r w:rsidRPr="00A3143D">
        <w:rPr>
          <w:b/>
          <w:bCs/>
          <w:sz w:val="24"/>
          <w:szCs w:val="24"/>
          <w:u w:val="single"/>
        </w:rPr>
        <w:t>CLEAN ENERGY IMPLEMENTATION PLAN (CEIP)</w:t>
      </w:r>
    </w:p>
    <w:p w14:paraId="063850F5" w14:textId="58AF47BA" w:rsidR="001378C0" w:rsidRPr="00A3143D" w:rsidRDefault="001378C0" w:rsidP="00A3143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3143D">
        <w:rPr>
          <w:sz w:val="24"/>
          <w:szCs w:val="24"/>
        </w:rPr>
        <w:t>Required every four years beginning Jan 1, 2022</w:t>
      </w:r>
    </w:p>
    <w:p w14:paraId="39867BAE" w14:textId="592AEED0" w:rsidR="001378C0" w:rsidRPr="00A3143D" w:rsidRDefault="001378C0" w:rsidP="00A3143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3143D">
        <w:rPr>
          <w:sz w:val="24"/>
          <w:szCs w:val="24"/>
        </w:rPr>
        <w:t>Must be approved by utility governing body</w:t>
      </w:r>
    </w:p>
    <w:p w14:paraId="77439048" w14:textId="3285DF70" w:rsidR="001378C0" w:rsidRPr="00A3143D" w:rsidRDefault="001378C0" w:rsidP="00A3143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3143D">
        <w:rPr>
          <w:sz w:val="24"/>
          <w:szCs w:val="24"/>
        </w:rPr>
        <w:t>Four-year plan for meeting CETA requirements for energy, equity</w:t>
      </w:r>
    </w:p>
    <w:p w14:paraId="30B0B912" w14:textId="303BB444" w:rsidR="003807D5" w:rsidRDefault="001378C0" w:rsidP="00A3143D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u w:val="single"/>
        </w:rPr>
      </w:pPr>
      <w:r w:rsidRPr="00A3143D">
        <w:rPr>
          <w:sz w:val="24"/>
          <w:szCs w:val="24"/>
        </w:rPr>
        <w:t>Public input is required during the development</w:t>
      </w:r>
      <w:r w:rsidRPr="00A3143D">
        <w:rPr>
          <w:b/>
          <w:bCs/>
          <w:sz w:val="24"/>
          <w:szCs w:val="24"/>
          <w:u w:val="single"/>
        </w:rPr>
        <w:t xml:space="preserve"> </w:t>
      </w:r>
    </w:p>
    <w:p w14:paraId="7D7F5656" w14:textId="77777777" w:rsidR="00B76751" w:rsidRDefault="00B76751" w:rsidP="00B76751">
      <w:pPr>
        <w:pStyle w:val="ListParagraph"/>
        <w:rPr>
          <w:b/>
          <w:bCs/>
          <w:sz w:val="24"/>
          <w:szCs w:val="24"/>
          <w:u w:val="single"/>
        </w:rPr>
      </w:pPr>
    </w:p>
    <w:p w14:paraId="18C2054A" w14:textId="77777777" w:rsidR="001943AF" w:rsidRDefault="001943AF" w:rsidP="003807D5">
      <w:pPr>
        <w:rPr>
          <w:b/>
          <w:bCs/>
          <w:u w:val="single"/>
        </w:rPr>
      </w:pPr>
    </w:p>
    <w:p w14:paraId="71B7CF00" w14:textId="78BA28F4" w:rsidR="00790F39" w:rsidRPr="00790F39" w:rsidRDefault="00790F39" w:rsidP="003807D5">
      <w:pPr>
        <w:rPr>
          <w:b/>
          <w:bCs/>
          <w:sz w:val="24"/>
          <w:szCs w:val="24"/>
          <w:u w:val="single"/>
        </w:rPr>
      </w:pPr>
      <w:r w:rsidRPr="00790F39">
        <w:rPr>
          <w:b/>
          <w:bCs/>
          <w:u w:val="single"/>
        </w:rPr>
        <w:lastRenderedPageBreak/>
        <w:t>CEIP CONTENTS – EQUITY</w:t>
      </w:r>
      <w:r w:rsidR="00B76751">
        <w:rPr>
          <w:b/>
          <w:bCs/>
          <w:u w:val="single"/>
        </w:rPr>
        <w:t xml:space="preserve"> PORTION AND PUBLIC INPUT</w:t>
      </w:r>
    </w:p>
    <w:p w14:paraId="1EC858F6" w14:textId="439978B0" w:rsidR="003807D5" w:rsidRPr="00B76751" w:rsidRDefault="003807D5" w:rsidP="00B7675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76751">
        <w:rPr>
          <w:sz w:val="24"/>
          <w:szCs w:val="24"/>
        </w:rPr>
        <w:t>Identify highly impacted communities (defined by State)</w:t>
      </w:r>
    </w:p>
    <w:p w14:paraId="07098D31" w14:textId="1181AE85" w:rsidR="003807D5" w:rsidRPr="00B76751" w:rsidRDefault="003807D5" w:rsidP="00B7675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76751">
        <w:rPr>
          <w:sz w:val="24"/>
          <w:szCs w:val="24"/>
        </w:rPr>
        <w:t>Identify vulnerable populations (defined through public process)</w:t>
      </w:r>
    </w:p>
    <w:p w14:paraId="1597D395" w14:textId="073F4C47" w:rsidR="003807D5" w:rsidRPr="00B76751" w:rsidRDefault="003807D5" w:rsidP="00B7675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76751">
        <w:rPr>
          <w:sz w:val="24"/>
          <w:szCs w:val="24"/>
        </w:rPr>
        <w:t>One or more indicators (defined through public process) used to</w:t>
      </w:r>
      <w:r w:rsidR="00790F39" w:rsidRPr="00B76751">
        <w:rPr>
          <w:sz w:val="24"/>
          <w:szCs w:val="24"/>
        </w:rPr>
        <w:t xml:space="preserve"> </w:t>
      </w:r>
      <w:r w:rsidRPr="00B76751">
        <w:rPr>
          <w:sz w:val="24"/>
          <w:szCs w:val="24"/>
        </w:rPr>
        <w:t>estimate the distribution of costs and benefits from the utility actions</w:t>
      </w:r>
      <w:r w:rsidR="00790F39" w:rsidRPr="00B76751">
        <w:rPr>
          <w:sz w:val="24"/>
          <w:szCs w:val="24"/>
        </w:rPr>
        <w:t xml:space="preserve"> </w:t>
      </w:r>
      <w:r w:rsidRPr="00B76751">
        <w:rPr>
          <w:sz w:val="24"/>
          <w:szCs w:val="24"/>
        </w:rPr>
        <w:t>planned to meet identified targets</w:t>
      </w:r>
    </w:p>
    <w:p w14:paraId="3543F9F0" w14:textId="77777777" w:rsidR="003B67BF" w:rsidRDefault="003807D5" w:rsidP="001943A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76751">
        <w:rPr>
          <w:sz w:val="24"/>
          <w:szCs w:val="24"/>
        </w:rPr>
        <w:t>How the utility will reduce risks to highly impacted communities and</w:t>
      </w:r>
      <w:r w:rsidR="00790F39" w:rsidRPr="00B76751">
        <w:rPr>
          <w:sz w:val="24"/>
          <w:szCs w:val="24"/>
        </w:rPr>
        <w:t xml:space="preserve"> </w:t>
      </w:r>
      <w:r w:rsidRPr="00B76751">
        <w:rPr>
          <w:sz w:val="24"/>
          <w:szCs w:val="24"/>
        </w:rPr>
        <w:t>vulnerable populations</w:t>
      </w:r>
      <w:r w:rsidR="003B67BF">
        <w:rPr>
          <w:sz w:val="24"/>
          <w:szCs w:val="24"/>
        </w:rPr>
        <w:t xml:space="preserve"> </w:t>
      </w:r>
    </w:p>
    <w:p w14:paraId="32BF6B1C" w14:textId="3833C61C" w:rsidR="00F2086B" w:rsidRPr="003B67BF" w:rsidRDefault="00741459" w:rsidP="003B67BF">
      <w:pPr>
        <w:rPr>
          <w:sz w:val="24"/>
          <w:szCs w:val="24"/>
        </w:rPr>
      </w:pPr>
      <w:r w:rsidRPr="003B67BF">
        <w:rPr>
          <w:b/>
          <w:bCs/>
          <w:sz w:val="24"/>
          <w:szCs w:val="24"/>
          <w:u w:val="single"/>
        </w:rPr>
        <w:t>Help Identify</w:t>
      </w:r>
      <w:r w:rsidR="00E22D68" w:rsidRPr="003B67BF">
        <w:rPr>
          <w:b/>
          <w:bCs/>
          <w:sz w:val="24"/>
          <w:szCs w:val="24"/>
          <w:u w:val="single"/>
        </w:rPr>
        <w:t xml:space="preserve"> Vulnerable Populations:</w:t>
      </w:r>
    </w:p>
    <w:p w14:paraId="69836555" w14:textId="65361B7A" w:rsidR="00E22D68" w:rsidRPr="00CB1209" w:rsidRDefault="00E22D68" w:rsidP="00E22D68">
      <w:pPr>
        <w:rPr>
          <w:i/>
          <w:iCs/>
          <w:sz w:val="24"/>
          <w:szCs w:val="24"/>
        </w:rPr>
      </w:pPr>
      <w:r w:rsidRPr="00CB1209">
        <w:rPr>
          <w:i/>
          <w:iCs/>
          <w:sz w:val="24"/>
          <w:szCs w:val="24"/>
        </w:rPr>
        <w:t>How is vulnerable defined? Communities that experience a disproportionate cumulative risk from environmental burdens due to:</w:t>
      </w:r>
    </w:p>
    <w:p w14:paraId="70D34C70" w14:textId="03D8B3BD" w:rsidR="00E22D68" w:rsidRPr="00CB1209" w:rsidRDefault="00E22D68" w:rsidP="00750F39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CB1209">
        <w:rPr>
          <w:i/>
          <w:iCs/>
          <w:sz w:val="24"/>
          <w:szCs w:val="24"/>
        </w:rPr>
        <w:t>Adverse socioeconomic factors, including unemployment, high housing and transportation costs relative to income, access to food and health care, and linguistic isolation; and</w:t>
      </w:r>
    </w:p>
    <w:p w14:paraId="4F52F5B2" w14:textId="32F070DF" w:rsidR="00741459" w:rsidRPr="00CB1209" w:rsidRDefault="00E22D68" w:rsidP="00E22D68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CB1209">
        <w:rPr>
          <w:i/>
          <w:iCs/>
          <w:sz w:val="24"/>
          <w:szCs w:val="24"/>
        </w:rPr>
        <w:t>Sensitivity factors, such as low birth weight and higher rates of hospitalization</w:t>
      </w:r>
    </w:p>
    <w:p w14:paraId="1D981BD1" w14:textId="3317B192" w:rsidR="00191782" w:rsidRPr="00CB1209" w:rsidRDefault="00191782" w:rsidP="00E22D68">
      <w:pPr>
        <w:rPr>
          <w:sz w:val="24"/>
          <w:szCs w:val="24"/>
        </w:rPr>
      </w:pPr>
      <w:r w:rsidRPr="00CB1209">
        <w:rPr>
          <w:sz w:val="24"/>
          <w:szCs w:val="24"/>
        </w:rPr>
        <w:t xml:space="preserve">Examples of Vulnerable Populations </w:t>
      </w:r>
      <w:r w:rsidR="00851814">
        <w:rPr>
          <w:sz w:val="24"/>
          <w:szCs w:val="24"/>
        </w:rPr>
        <w:t>Port Angeles and Clallam County</w:t>
      </w:r>
      <w:r w:rsidRPr="00CB1209">
        <w:rPr>
          <w:sz w:val="24"/>
          <w:szCs w:val="24"/>
        </w:rPr>
        <w:t xml:space="preserve"> encounters frequently:</w:t>
      </w:r>
    </w:p>
    <w:p w14:paraId="666459CE" w14:textId="1848A2EB" w:rsidR="00191782" w:rsidRPr="009370A9" w:rsidRDefault="00191782" w:rsidP="007E3E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370A9">
        <w:rPr>
          <w:sz w:val="24"/>
          <w:szCs w:val="24"/>
        </w:rPr>
        <w:t>Low Income Households</w:t>
      </w:r>
    </w:p>
    <w:p w14:paraId="359EDA81" w14:textId="69CCE11C" w:rsidR="00191782" w:rsidRPr="009370A9" w:rsidRDefault="009370A9" w:rsidP="007E3E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370A9">
        <w:rPr>
          <w:sz w:val="24"/>
          <w:szCs w:val="24"/>
        </w:rPr>
        <w:t>Households with a high energy burden</w:t>
      </w:r>
    </w:p>
    <w:p w14:paraId="785129A7" w14:textId="7C46853A" w:rsidR="00191782" w:rsidRPr="009370A9" w:rsidRDefault="00191782" w:rsidP="007E3E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370A9">
        <w:rPr>
          <w:sz w:val="24"/>
          <w:szCs w:val="24"/>
        </w:rPr>
        <w:t>R</w:t>
      </w:r>
      <w:r w:rsidR="009370A9" w:rsidRPr="009370A9">
        <w:rPr>
          <w:sz w:val="24"/>
          <w:szCs w:val="24"/>
        </w:rPr>
        <w:t>emote Customers or those who have difficulty getting to services</w:t>
      </w:r>
    </w:p>
    <w:p w14:paraId="62C02359" w14:textId="2C5667A9" w:rsidR="00FE148D" w:rsidRPr="009370A9" w:rsidRDefault="009370A9" w:rsidP="00E22D6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370A9">
        <w:rPr>
          <w:sz w:val="24"/>
          <w:szCs w:val="24"/>
        </w:rPr>
        <w:t>Households with no internet</w:t>
      </w:r>
    </w:p>
    <w:p w14:paraId="2CFFF0E5" w14:textId="57B75546" w:rsidR="00191782" w:rsidRPr="00CB1209" w:rsidRDefault="00191782" w:rsidP="00E22D68">
      <w:pPr>
        <w:rPr>
          <w:sz w:val="24"/>
          <w:szCs w:val="24"/>
        </w:rPr>
      </w:pPr>
      <w:r w:rsidRPr="00CB1209">
        <w:rPr>
          <w:sz w:val="24"/>
          <w:szCs w:val="24"/>
        </w:rPr>
        <w:t>Are there other</w:t>
      </w:r>
      <w:r w:rsidR="00FE148D" w:rsidRPr="00CB1209">
        <w:rPr>
          <w:sz w:val="24"/>
          <w:szCs w:val="24"/>
        </w:rPr>
        <w:t xml:space="preserve"> Vulnerable </w:t>
      </w:r>
      <w:r w:rsidR="007E3EAC" w:rsidRPr="00CB1209">
        <w:rPr>
          <w:sz w:val="24"/>
          <w:szCs w:val="24"/>
        </w:rPr>
        <w:t>Populations</w:t>
      </w:r>
      <w:r w:rsidRPr="00CB1209">
        <w:rPr>
          <w:sz w:val="24"/>
          <w:szCs w:val="24"/>
        </w:rPr>
        <w:t xml:space="preserve"> you think we should add?</w:t>
      </w:r>
    </w:p>
    <w:tbl>
      <w:tblPr>
        <w:tblStyle w:val="TableGrid"/>
        <w:tblW w:w="13292" w:type="dxa"/>
        <w:tblLook w:val="04A0" w:firstRow="1" w:lastRow="0" w:firstColumn="1" w:lastColumn="0" w:noHBand="0" w:noVBand="1"/>
      </w:tblPr>
      <w:tblGrid>
        <w:gridCol w:w="6646"/>
        <w:gridCol w:w="6646"/>
      </w:tblGrid>
      <w:tr w:rsidR="00CB1209" w14:paraId="02499982" w14:textId="77777777" w:rsidTr="00CB1209">
        <w:trPr>
          <w:trHeight w:val="494"/>
        </w:trPr>
        <w:tc>
          <w:tcPr>
            <w:tcW w:w="6646" w:type="dxa"/>
          </w:tcPr>
          <w:p w14:paraId="6C18E9E1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  <w:tc>
          <w:tcPr>
            <w:tcW w:w="6646" w:type="dxa"/>
          </w:tcPr>
          <w:p w14:paraId="12D14B7C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</w:tr>
      <w:tr w:rsidR="00CB1209" w14:paraId="667AD8E2" w14:textId="77777777" w:rsidTr="00CB1209">
        <w:trPr>
          <w:trHeight w:val="465"/>
        </w:trPr>
        <w:tc>
          <w:tcPr>
            <w:tcW w:w="6646" w:type="dxa"/>
          </w:tcPr>
          <w:p w14:paraId="5C92D250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  <w:tc>
          <w:tcPr>
            <w:tcW w:w="6646" w:type="dxa"/>
          </w:tcPr>
          <w:p w14:paraId="079B28DA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</w:tr>
      <w:tr w:rsidR="00CB1209" w14:paraId="2BB477A7" w14:textId="77777777" w:rsidTr="00CB1209">
        <w:trPr>
          <w:trHeight w:val="494"/>
        </w:trPr>
        <w:tc>
          <w:tcPr>
            <w:tcW w:w="6646" w:type="dxa"/>
          </w:tcPr>
          <w:p w14:paraId="11DF3DF5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  <w:tc>
          <w:tcPr>
            <w:tcW w:w="6646" w:type="dxa"/>
          </w:tcPr>
          <w:p w14:paraId="3C588A0A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</w:tr>
      <w:tr w:rsidR="00CB1209" w14:paraId="79B1329E" w14:textId="77777777" w:rsidTr="00CB1209">
        <w:trPr>
          <w:trHeight w:val="465"/>
        </w:trPr>
        <w:tc>
          <w:tcPr>
            <w:tcW w:w="6646" w:type="dxa"/>
          </w:tcPr>
          <w:p w14:paraId="455F0939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  <w:tc>
          <w:tcPr>
            <w:tcW w:w="6646" w:type="dxa"/>
          </w:tcPr>
          <w:p w14:paraId="69F1BB74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</w:tr>
    </w:tbl>
    <w:p w14:paraId="48DBFEEA" w14:textId="28B6CCE6" w:rsidR="007E3EAC" w:rsidRPr="00CB1209" w:rsidRDefault="007E3EAC" w:rsidP="00E22D68">
      <w:pPr>
        <w:rPr>
          <w:sz w:val="24"/>
          <w:szCs w:val="24"/>
        </w:rPr>
      </w:pPr>
    </w:p>
    <w:p w14:paraId="73DB59DC" w14:textId="77777777" w:rsidR="001943AF" w:rsidRDefault="001943AF" w:rsidP="00E22D68">
      <w:pPr>
        <w:rPr>
          <w:sz w:val="24"/>
          <w:szCs w:val="24"/>
        </w:rPr>
      </w:pPr>
    </w:p>
    <w:p w14:paraId="10C60CA4" w14:textId="3DDA1EC6" w:rsidR="00191782" w:rsidRPr="00CB1209" w:rsidRDefault="00191782" w:rsidP="00E22D68">
      <w:pPr>
        <w:rPr>
          <w:sz w:val="24"/>
          <w:szCs w:val="24"/>
        </w:rPr>
      </w:pPr>
      <w:r w:rsidRPr="00CB1209">
        <w:rPr>
          <w:sz w:val="24"/>
          <w:szCs w:val="24"/>
        </w:rPr>
        <w:t>Wh</w:t>
      </w:r>
      <w:r w:rsidR="00FE148D" w:rsidRPr="00CB1209">
        <w:rPr>
          <w:sz w:val="24"/>
          <w:szCs w:val="24"/>
        </w:rPr>
        <w:t xml:space="preserve">ich Vulnerable </w:t>
      </w:r>
      <w:r w:rsidR="00CB1209">
        <w:rPr>
          <w:sz w:val="24"/>
          <w:szCs w:val="24"/>
        </w:rPr>
        <w:t>P</w:t>
      </w:r>
      <w:r w:rsidR="00FE148D" w:rsidRPr="00CB1209">
        <w:rPr>
          <w:sz w:val="24"/>
          <w:szCs w:val="24"/>
        </w:rPr>
        <w:t xml:space="preserve">opulations are most impacted or benefited by </w:t>
      </w:r>
      <w:r w:rsidR="00567E04">
        <w:rPr>
          <w:sz w:val="24"/>
          <w:szCs w:val="24"/>
        </w:rPr>
        <w:t>Port Angeles’</w:t>
      </w:r>
      <w:r w:rsidR="00FE148D" w:rsidRPr="00CB1209">
        <w:rPr>
          <w:sz w:val="24"/>
          <w:szCs w:val="24"/>
        </w:rPr>
        <w:t xml:space="preserve"> efforts to meet CETA standards?</w:t>
      </w:r>
    </w:p>
    <w:tbl>
      <w:tblPr>
        <w:tblStyle w:val="TableGrid"/>
        <w:tblW w:w="13616" w:type="dxa"/>
        <w:tblLook w:val="04A0" w:firstRow="1" w:lastRow="0" w:firstColumn="1" w:lastColumn="0" w:noHBand="0" w:noVBand="1"/>
      </w:tblPr>
      <w:tblGrid>
        <w:gridCol w:w="6808"/>
        <w:gridCol w:w="6808"/>
      </w:tblGrid>
      <w:tr w:rsidR="00CB1209" w14:paraId="36737221" w14:textId="77777777" w:rsidTr="00CB1209">
        <w:trPr>
          <w:trHeight w:val="646"/>
        </w:trPr>
        <w:tc>
          <w:tcPr>
            <w:tcW w:w="6808" w:type="dxa"/>
          </w:tcPr>
          <w:p w14:paraId="3E0CB537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  <w:tc>
          <w:tcPr>
            <w:tcW w:w="6808" w:type="dxa"/>
          </w:tcPr>
          <w:p w14:paraId="0890CF75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</w:tr>
      <w:tr w:rsidR="00CB1209" w14:paraId="5C88A704" w14:textId="77777777" w:rsidTr="00CB1209">
        <w:trPr>
          <w:trHeight w:val="609"/>
        </w:trPr>
        <w:tc>
          <w:tcPr>
            <w:tcW w:w="6808" w:type="dxa"/>
          </w:tcPr>
          <w:p w14:paraId="05EE1F6D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  <w:tc>
          <w:tcPr>
            <w:tcW w:w="6808" w:type="dxa"/>
          </w:tcPr>
          <w:p w14:paraId="1B385E5C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</w:tr>
      <w:tr w:rsidR="00CB1209" w14:paraId="2513553F" w14:textId="77777777" w:rsidTr="00CB1209">
        <w:trPr>
          <w:trHeight w:val="646"/>
        </w:trPr>
        <w:tc>
          <w:tcPr>
            <w:tcW w:w="6808" w:type="dxa"/>
          </w:tcPr>
          <w:p w14:paraId="017C3C1E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  <w:tc>
          <w:tcPr>
            <w:tcW w:w="6808" w:type="dxa"/>
          </w:tcPr>
          <w:p w14:paraId="161B0173" w14:textId="77777777" w:rsidR="00CB1209" w:rsidRDefault="00CB1209" w:rsidP="00E22D68">
            <w:pPr>
              <w:rPr>
                <w:sz w:val="24"/>
                <w:szCs w:val="24"/>
              </w:rPr>
            </w:pPr>
          </w:p>
        </w:tc>
      </w:tr>
    </w:tbl>
    <w:p w14:paraId="517B435F" w14:textId="6CBC03C3" w:rsidR="00730F38" w:rsidRPr="001D51E2" w:rsidRDefault="00730F38" w:rsidP="00730F38">
      <w:pPr>
        <w:rPr>
          <w:sz w:val="24"/>
          <w:szCs w:val="24"/>
        </w:rPr>
      </w:pPr>
      <w:r w:rsidRPr="00CB1209">
        <w:rPr>
          <w:b/>
          <w:bCs/>
          <w:sz w:val="24"/>
          <w:szCs w:val="24"/>
          <w:u w:val="single"/>
        </w:rPr>
        <w:t>Help Identify Indicators</w:t>
      </w:r>
    </w:p>
    <w:p w14:paraId="1427468A" w14:textId="6A0B538B" w:rsidR="00C217E6" w:rsidRPr="001D51E2" w:rsidRDefault="007969C1" w:rsidP="00730F38">
      <w:pPr>
        <w:rPr>
          <w:i/>
          <w:iCs/>
          <w:sz w:val="24"/>
          <w:szCs w:val="24"/>
        </w:rPr>
      </w:pPr>
      <w:r w:rsidRPr="001D51E2">
        <w:rPr>
          <w:i/>
          <w:iCs/>
          <w:sz w:val="24"/>
          <w:szCs w:val="24"/>
        </w:rPr>
        <w:t xml:space="preserve">Indicators are the metrics that used to measure </w:t>
      </w:r>
      <w:r w:rsidR="00C217E6" w:rsidRPr="001D51E2">
        <w:rPr>
          <w:i/>
          <w:iCs/>
          <w:sz w:val="24"/>
          <w:szCs w:val="24"/>
        </w:rPr>
        <w:t xml:space="preserve">the costs and benefits of the targeted actions </w:t>
      </w:r>
      <w:r w:rsidR="00296CB0">
        <w:rPr>
          <w:i/>
          <w:iCs/>
          <w:sz w:val="24"/>
          <w:szCs w:val="24"/>
        </w:rPr>
        <w:t>Port Angeles</w:t>
      </w:r>
      <w:r w:rsidR="00C217E6" w:rsidRPr="001D51E2">
        <w:rPr>
          <w:i/>
          <w:iCs/>
          <w:sz w:val="24"/>
          <w:szCs w:val="24"/>
        </w:rPr>
        <w:t xml:space="preserve"> is taking to meet</w:t>
      </w:r>
      <w:r w:rsidRPr="001D51E2">
        <w:rPr>
          <w:i/>
          <w:iCs/>
          <w:sz w:val="24"/>
          <w:szCs w:val="24"/>
        </w:rPr>
        <w:t xml:space="preserve"> clean energy standards</w:t>
      </w:r>
      <w:r w:rsidR="00C217E6" w:rsidRPr="001D51E2">
        <w:rPr>
          <w:i/>
          <w:iCs/>
          <w:sz w:val="24"/>
          <w:szCs w:val="24"/>
        </w:rPr>
        <w:t>.</w:t>
      </w:r>
      <w:r w:rsidR="001D51E2" w:rsidRPr="001D51E2">
        <w:rPr>
          <w:i/>
          <w:iCs/>
          <w:sz w:val="24"/>
          <w:szCs w:val="24"/>
        </w:rPr>
        <w:t xml:space="preserve"> </w:t>
      </w:r>
      <w:r w:rsidR="00C217E6" w:rsidRPr="001D51E2">
        <w:rPr>
          <w:i/>
          <w:iCs/>
          <w:sz w:val="24"/>
          <w:szCs w:val="24"/>
        </w:rPr>
        <w:t xml:space="preserve">The actions </w:t>
      </w:r>
      <w:r w:rsidR="00296CB0">
        <w:rPr>
          <w:i/>
          <w:iCs/>
          <w:sz w:val="24"/>
          <w:szCs w:val="24"/>
        </w:rPr>
        <w:t>Port Angeles</w:t>
      </w:r>
      <w:r w:rsidR="00C217E6" w:rsidRPr="001D51E2">
        <w:rPr>
          <w:i/>
          <w:iCs/>
          <w:sz w:val="24"/>
          <w:szCs w:val="24"/>
        </w:rPr>
        <w:t xml:space="preserve"> </w:t>
      </w:r>
      <w:r w:rsidR="007E3EAC" w:rsidRPr="001D51E2">
        <w:rPr>
          <w:i/>
          <w:iCs/>
          <w:sz w:val="24"/>
          <w:szCs w:val="24"/>
        </w:rPr>
        <w:t>is</w:t>
      </w:r>
      <w:r w:rsidR="00C217E6" w:rsidRPr="001D51E2">
        <w:rPr>
          <w:i/>
          <w:iCs/>
          <w:sz w:val="24"/>
          <w:szCs w:val="24"/>
        </w:rPr>
        <w:t xml:space="preserve"> taking to maintain an 80% or better mix of renewable and non-emitting sources over the next for years; and to move closer to 2030 and 2045 goals respectively are as follows:</w:t>
      </w:r>
    </w:p>
    <w:p w14:paraId="3C8FAA36" w14:textId="0F67D429" w:rsidR="00C217E6" w:rsidRPr="009370A9" w:rsidRDefault="00C217E6" w:rsidP="00C217E6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9370A9">
        <w:rPr>
          <w:i/>
          <w:iCs/>
          <w:sz w:val="24"/>
          <w:szCs w:val="24"/>
        </w:rPr>
        <w:t xml:space="preserve">Continue to purchase and provide </w:t>
      </w:r>
      <w:r w:rsidR="007E3EAC" w:rsidRPr="009370A9">
        <w:rPr>
          <w:i/>
          <w:iCs/>
          <w:sz w:val="24"/>
          <w:szCs w:val="24"/>
        </w:rPr>
        <w:t xml:space="preserve">90+% carbon free </w:t>
      </w:r>
      <w:r w:rsidRPr="009370A9">
        <w:rPr>
          <w:i/>
          <w:iCs/>
          <w:sz w:val="24"/>
          <w:szCs w:val="24"/>
        </w:rPr>
        <w:t>tier one BPA power to our customers</w:t>
      </w:r>
    </w:p>
    <w:p w14:paraId="292342B2" w14:textId="20869656" w:rsidR="00C217E6" w:rsidRPr="009370A9" w:rsidRDefault="00C217E6" w:rsidP="00C217E6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9370A9">
        <w:rPr>
          <w:i/>
          <w:iCs/>
          <w:sz w:val="24"/>
          <w:szCs w:val="24"/>
        </w:rPr>
        <w:t>In</w:t>
      </w:r>
      <w:r w:rsidR="009370A9" w:rsidRPr="009370A9">
        <w:rPr>
          <w:i/>
          <w:iCs/>
          <w:sz w:val="24"/>
          <w:szCs w:val="24"/>
        </w:rPr>
        <w:t>vestigate the use of RECs to achieve 2030 carbon neutral goal.</w:t>
      </w:r>
    </w:p>
    <w:p w14:paraId="5CE4F7D6" w14:textId="6A157122" w:rsidR="00730F38" w:rsidRPr="00CB1209" w:rsidRDefault="00730F38" w:rsidP="00730F38">
      <w:pPr>
        <w:rPr>
          <w:sz w:val="24"/>
          <w:szCs w:val="24"/>
        </w:rPr>
      </w:pPr>
      <w:r w:rsidRPr="00CB1209">
        <w:rPr>
          <w:sz w:val="24"/>
          <w:szCs w:val="24"/>
        </w:rPr>
        <w:t>Indicators must be associated with one of the following categories: energy benefits, non-energy benefits, reduction of burdens, public health, environment, reduction in cost, energy security, or resiliency.</w:t>
      </w:r>
    </w:p>
    <w:tbl>
      <w:tblPr>
        <w:tblStyle w:val="TableGrid"/>
        <w:tblW w:w="13138" w:type="dxa"/>
        <w:tblLook w:val="04A0" w:firstRow="1" w:lastRow="0" w:firstColumn="1" w:lastColumn="0" w:noHBand="0" w:noVBand="1"/>
      </w:tblPr>
      <w:tblGrid>
        <w:gridCol w:w="1583"/>
        <w:gridCol w:w="1588"/>
        <w:gridCol w:w="1565"/>
        <w:gridCol w:w="1679"/>
        <w:gridCol w:w="1680"/>
        <w:gridCol w:w="1620"/>
        <w:gridCol w:w="1655"/>
        <w:gridCol w:w="1768"/>
      </w:tblGrid>
      <w:tr w:rsidR="00750F39" w:rsidRPr="00CB1209" w14:paraId="0BD0D5A6" w14:textId="77777777" w:rsidTr="00750F39">
        <w:trPr>
          <w:trHeight w:val="827"/>
        </w:trPr>
        <w:tc>
          <w:tcPr>
            <w:tcW w:w="1583" w:type="dxa"/>
          </w:tcPr>
          <w:p w14:paraId="27906139" w14:textId="47C7FE84" w:rsidR="00B11084" w:rsidRPr="00CB1209" w:rsidRDefault="00B11084" w:rsidP="00730F38">
            <w:pPr>
              <w:rPr>
                <w:sz w:val="24"/>
                <w:szCs w:val="24"/>
              </w:rPr>
            </w:pPr>
            <w:r w:rsidRPr="00CB1209">
              <w:rPr>
                <w:sz w:val="24"/>
                <w:szCs w:val="24"/>
              </w:rPr>
              <w:t>Energy Benefits</w:t>
            </w:r>
          </w:p>
        </w:tc>
        <w:tc>
          <w:tcPr>
            <w:tcW w:w="1588" w:type="dxa"/>
          </w:tcPr>
          <w:p w14:paraId="68EE8838" w14:textId="144D0BE3" w:rsidR="00B11084" w:rsidRPr="00CB1209" w:rsidRDefault="00B11084" w:rsidP="00730F38">
            <w:pPr>
              <w:rPr>
                <w:sz w:val="24"/>
                <w:szCs w:val="24"/>
              </w:rPr>
            </w:pPr>
            <w:r w:rsidRPr="00CB1209">
              <w:rPr>
                <w:sz w:val="24"/>
                <w:szCs w:val="24"/>
              </w:rPr>
              <w:t>Non-Energy Benefits</w:t>
            </w:r>
          </w:p>
        </w:tc>
        <w:tc>
          <w:tcPr>
            <w:tcW w:w="1565" w:type="dxa"/>
          </w:tcPr>
          <w:p w14:paraId="21ECB53F" w14:textId="0907BFAE" w:rsidR="00B11084" w:rsidRPr="00CB1209" w:rsidRDefault="00B11084" w:rsidP="00730F38">
            <w:pPr>
              <w:rPr>
                <w:sz w:val="24"/>
                <w:szCs w:val="24"/>
              </w:rPr>
            </w:pPr>
            <w:r w:rsidRPr="00CB1209">
              <w:rPr>
                <w:sz w:val="24"/>
                <w:szCs w:val="24"/>
              </w:rPr>
              <w:t>Reduction of Burdens</w:t>
            </w:r>
          </w:p>
        </w:tc>
        <w:tc>
          <w:tcPr>
            <w:tcW w:w="1679" w:type="dxa"/>
          </w:tcPr>
          <w:p w14:paraId="10F1F0C1" w14:textId="79E73AC4" w:rsidR="00B11084" w:rsidRPr="00CB1209" w:rsidRDefault="00B11084" w:rsidP="00730F38">
            <w:pPr>
              <w:rPr>
                <w:sz w:val="24"/>
                <w:szCs w:val="24"/>
              </w:rPr>
            </w:pPr>
            <w:r w:rsidRPr="00CB1209">
              <w:rPr>
                <w:sz w:val="24"/>
                <w:szCs w:val="24"/>
              </w:rPr>
              <w:t>Public Health</w:t>
            </w:r>
          </w:p>
        </w:tc>
        <w:tc>
          <w:tcPr>
            <w:tcW w:w="1680" w:type="dxa"/>
          </w:tcPr>
          <w:p w14:paraId="2CADDECD" w14:textId="0540242E" w:rsidR="00B11084" w:rsidRPr="00CB1209" w:rsidRDefault="00B11084" w:rsidP="00730F38">
            <w:pPr>
              <w:rPr>
                <w:sz w:val="24"/>
                <w:szCs w:val="24"/>
              </w:rPr>
            </w:pPr>
            <w:r w:rsidRPr="00CB1209">
              <w:rPr>
                <w:sz w:val="24"/>
                <w:szCs w:val="24"/>
              </w:rPr>
              <w:t>Environment</w:t>
            </w:r>
          </w:p>
        </w:tc>
        <w:tc>
          <w:tcPr>
            <w:tcW w:w="1620" w:type="dxa"/>
          </w:tcPr>
          <w:p w14:paraId="25492B47" w14:textId="4195CB02" w:rsidR="00B11084" w:rsidRPr="00CB1209" w:rsidRDefault="00B11084" w:rsidP="00730F38">
            <w:pPr>
              <w:rPr>
                <w:sz w:val="24"/>
                <w:szCs w:val="24"/>
              </w:rPr>
            </w:pPr>
            <w:r w:rsidRPr="00CB1209">
              <w:rPr>
                <w:sz w:val="24"/>
                <w:szCs w:val="24"/>
              </w:rPr>
              <w:t>Reduction in Cost</w:t>
            </w:r>
          </w:p>
        </w:tc>
        <w:tc>
          <w:tcPr>
            <w:tcW w:w="1655" w:type="dxa"/>
          </w:tcPr>
          <w:p w14:paraId="030DFD3E" w14:textId="50CEE35F" w:rsidR="00B11084" w:rsidRPr="00CB1209" w:rsidRDefault="00B11084" w:rsidP="00730F38">
            <w:pPr>
              <w:rPr>
                <w:sz w:val="24"/>
                <w:szCs w:val="24"/>
              </w:rPr>
            </w:pPr>
            <w:r w:rsidRPr="00CB1209">
              <w:rPr>
                <w:sz w:val="24"/>
                <w:szCs w:val="24"/>
              </w:rPr>
              <w:t>Energy Security</w:t>
            </w:r>
          </w:p>
        </w:tc>
        <w:tc>
          <w:tcPr>
            <w:tcW w:w="1768" w:type="dxa"/>
          </w:tcPr>
          <w:p w14:paraId="4AB8DAB6" w14:textId="60A28B5B" w:rsidR="00B11084" w:rsidRPr="00CB1209" w:rsidRDefault="00B11084" w:rsidP="00730F38">
            <w:pPr>
              <w:rPr>
                <w:sz w:val="24"/>
                <w:szCs w:val="24"/>
              </w:rPr>
            </w:pPr>
            <w:r w:rsidRPr="00CB1209">
              <w:rPr>
                <w:sz w:val="24"/>
                <w:szCs w:val="24"/>
              </w:rPr>
              <w:t>Resiliency</w:t>
            </w:r>
          </w:p>
        </w:tc>
      </w:tr>
      <w:tr w:rsidR="00750F39" w:rsidRPr="00CB1209" w14:paraId="51DEBAF4" w14:textId="77777777" w:rsidTr="00750F39">
        <w:trPr>
          <w:trHeight w:val="327"/>
        </w:trPr>
        <w:tc>
          <w:tcPr>
            <w:tcW w:w="1583" w:type="dxa"/>
          </w:tcPr>
          <w:p w14:paraId="65A0E99D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92F2198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5028C432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14:paraId="46FB954B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C9B4400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B8C811A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84198C3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178E5446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</w:tr>
      <w:tr w:rsidR="00750F39" w:rsidRPr="00CB1209" w14:paraId="6FBF00D2" w14:textId="77777777" w:rsidTr="00750F39">
        <w:trPr>
          <w:trHeight w:val="327"/>
        </w:trPr>
        <w:tc>
          <w:tcPr>
            <w:tcW w:w="1583" w:type="dxa"/>
          </w:tcPr>
          <w:p w14:paraId="68B6F7FB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4E54541D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142BC703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14:paraId="6E7E75D6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47B71FB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ED05891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69E276DC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2FF6BB00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</w:tr>
      <w:tr w:rsidR="00750F39" w:rsidRPr="00CB1209" w14:paraId="35494C60" w14:textId="77777777" w:rsidTr="00750F39">
        <w:trPr>
          <w:trHeight w:val="327"/>
        </w:trPr>
        <w:tc>
          <w:tcPr>
            <w:tcW w:w="1583" w:type="dxa"/>
          </w:tcPr>
          <w:p w14:paraId="0D8F7340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3451492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1C331955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14:paraId="6F5F81C1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E01CBF0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5F995B8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2F1A463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7B3C3D0F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</w:tr>
      <w:tr w:rsidR="00750F39" w:rsidRPr="00CB1209" w14:paraId="2426CE94" w14:textId="77777777" w:rsidTr="00750F39">
        <w:trPr>
          <w:trHeight w:val="348"/>
        </w:trPr>
        <w:tc>
          <w:tcPr>
            <w:tcW w:w="1583" w:type="dxa"/>
          </w:tcPr>
          <w:p w14:paraId="5803D4D1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26083CE1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25144D3F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14:paraId="16E424A2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495E1DEA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AAE634A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F23DA16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2D724D6B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</w:tr>
      <w:tr w:rsidR="00750F39" w:rsidRPr="00CB1209" w14:paraId="7243154C" w14:textId="77777777" w:rsidTr="00750F39">
        <w:trPr>
          <w:trHeight w:val="305"/>
        </w:trPr>
        <w:tc>
          <w:tcPr>
            <w:tcW w:w="1583" w:type="dxa"/>
          </w:tcPr>
          <w:p w14:paraId="7FCFC64C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0F75D33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0CBF56A8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14:paraId="236C1871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4F25D61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0F4F9CC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12003B7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343B5FF1" w14:textId="77777777" w:rsidR="00B11084" w:rsidRPr="00CB1209" w:rsidRDefault="00B11084" w:rsidP="00730F38">
            <w:pPr>
              <w:rPr>
                <w:sz w:val="24"/>
                <w:szCs w:val="24"/>
              </w:rPr>
            </w:pPr>
          </w:p>
        </w:tc>
      </w:tr>
    </w:tbl>
    <w:p w14:paraId="53A21ECF" w14:textId="77777777" w:rsidR="00687947" w:rsidRPr="00CB1209" w:rsidRDefault="00687947" w:rsidP="00730F38">
      <w:pPr>
        <w:rPr>
          <w:sz w:val="24"/>
          <w:szCs w:val="24"/>
        </w:rPr>
      </w:pPr>
    </w:p>
    <w:p w14:paraId="18EABFC2" w14:textId="77777777" w:rsidR="001943AF" w:rsidRDefault="001943AF" w:rsidP="00E22D68">
      <w:pPr>
        <w:rPr>
          <w:sz w:val="24"/>
          <w:szCs w:val="24"/>
        </w:rPr>
      </w:pPr>
    </w:p>
    <w:p w14:paraId="2303A1A1" w14:textId="41133526" w:rsidR="00E22D68" w:rsidRPr="00CB1209" w:rsidRDefault="003C439F" w:rsidP="00E22D68">
      <w:pPr>
        <w:rPr>
          <w:sz w:val="24"/>
          <w:szCs w:val="24"/>
        </w:rPr>
      </w:pPr>
      <w:r>
        <w:rPr>
          <w:sz w:val="24"/>
          <w:szCs w:val="24"/>
        </w:rPr>
        <w:t xml:space="preserve">Draft </w:t>
      </w:r>
      <w:r w:rsidR="007855C9" w:rsidRPr="00CB1209">
        <w:rPr>
          <w:sz w:val="24"/>
          <w:szCs w:val="24"/>
        </w:rPr>
        <w:t>Examples of h</w:t>
      </w:r>
      <w:r w:rsidR="00191782" w:rsidRPr="00CB1209">
        <w:rPr>
          <w:sz w:val="24"/>
          <w:szCs w:val="24"/>
        </w:rPr>
        <w:t>ow the Indicators are used in the CEIP</w:t>
      </w:r>
      <w:r w:rsidR="007855C9" w:rsidRPr="00CB1209">
        <w:rPr>
          <w:sz w:val="24"/>
          <w:szCs w:val="24"/>
        </w:rPr>
        <w:t xml:space="preserve"> report</w:t>
      </w:r>
      <w:r w:rsidR="00DC09EE" w:rsidRPr="00CB1209">
        <w:rPr>
          <w:sz w:val="24"/>
          <w:szCs w:val="24"/>
        </w:rPr>
        <w:t xml:space="preserve">: </w:t>
      </w:r>
    </w:p>
    <w:tbl>
      <w:tblPr>
        <w:tblStyle w:val="TableGrid"/>
        <w:tblW w:w="13199" w:type="dxa"/>
        <w:tblLook w:val="04A0" w:firstRow="1" w:lastRow="0" w:firstColumn="1" w:lastColumn="0" w:noHBand="0" w:noVBand="1"/>
      </w:tblPr>
      <w:tblGrid>
        <w:gridCol w:w="2499"/>
        <w:gridCol w:w="3085"/>
        <w:gridCol w:w="3707"/>
        <w:gridCol w:w="2014"/>
        <w:gridCol w:w="1894"/>
      </w:tblGrid>
      <w:tr w:rsidR="00C56B48" w:rsidRPr="00CB1209" w14:paraId="440572DB" w14:textId="77777777" w:rsidTr="00750F39">
        <w:trPr>
          <w:trHeight w:val="267"/>
        </w:trPr>
        <w:tc>
          <w:tcPr>
            <w:tcW w:w="2499" w:type="dxa"/>
            <w:noWrap/>
            <w:hideMark/>
          </w:tcPr>
          <w:p w14:paraId="24B3CF61" w14:textId="77777777" w:rsidR="00C56B48" w:rsidRPr="00CB1209" w:rsidRDefault="00C56B48">
            <w:pPr>
              <w:rPr>
                <w:b/>
                <w:bCs/>
                <w:sz w:val="24"/>
                <w:szCs w:val="24"/>
              </w:rPr>
            </w:pPr>
            <w:r w:rsidRPr="00CB1209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085" w:type="dxa"/>
            <w:hideMark/>
          </w:tcPr>
          <w:p w14:paraId="21278D50" w14:textId="77777777" w:rsidR="00C56B48" w:rsidRPr="00CB1209" w:rsidRDefault="00C56B48">
            <w:pPr>
              <w:rPr>
                <w:b/>
                <w:bCs/>
                <w:sz w:val="24"/>
                <w:szCs w:val="24"/>
              </w:rPr>
            </w:pPr>
            <w:r w:rsidRPr="00CB1209">
              <w:rPr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3707" w:type="dxa"/>
            <w:noWrap/>
            <w:hideMark/>
          </w:tcPr>
          <w:p w14:paraId="0564FE13" w14:textId="77777777" w:rsidR="00C56B48" w:rsidRPr="00CB1209" w:rsidRDefault="00C56B48">
            <w:pPr>
              <w:rPr>
                <w:b/>
                <w:bCs/>
                <w:sz w:val="24"/>
                <w:szCs w:val="24"/>
              </w:rPr>
            </w:pPr>
            <w:r w:rsidRPr="00CB1209">
              <w:rPr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014" w:type="dxa"/>
            <w:noWrap/>
            <w:hideMark/>
          </w:tcPr>
          <w:p w14:paraId="0E73C15F" w14:textId="77777777" w:rsidR="00C56B48" w:rsidRPr="00CB1209" w:rsidRDefault="00C56B48">
            <w:pPr>
              <w:rPr>
                <w:b/>
                <w:bCs/>
                <w:sz w:val="24"/>
                <w:szCs w:val="24"/>
              </w:rPr>
            </w:pPr>
            <w:r w:rsidRPr="00CB1209">
              <w:rPr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894" w:type="dxa"/>
            <w:hideMark/>
          </w:tcPr>
          <w:p w14:paraId="09CE2245" w14:textId="77777777" w:rsidR="00C56B48" w:rsidRPr="00CB1209" w:rsidRDefault="00C56B48">
            <w:pPr>
              <w:rPr>
                <w:b/>
                <w:bCs/>
                <w:sz w:val="24"/>
                <w:szCs w:val="24"/>
              </w:rPr>
            </w:pPr>
            <w:r w:rsidRPr="00CB1209">
              <w:rPr>
                <w:b/>
                <w:bCs/>
                <w:sz w:val="24"/>
                <w:szCs w:val="24"/>
              </w:rPr>
              <w:t>Date Last Updated</w:t>
            </w:r>
          </w:p>
        </w:tc>
      </w:tr>
      <w:tr w:rsidR="00C56B48" w:rsidRPr="00B02DF3" w14:paraId="06BD2753" w14:textId="77777777" w:rsidTr="00750F39">
        <w:trPr>
          <w:trHeight w:val="803"/>
        </w:trPr>
        <w:tc>
          <w:tcPr>
            <w:tcW w:w="2499" w:type="dxa"/>
            <w:hideMark/>
          </w:tcPr>
          <w:p w14:paraId="20140178" w14:textId="576C3962" w:rsidR="00C56B48" w:rsidRPr="00B02DF3" w:rsidRDefault="00C56B48">
            <w:pPr>
              <w:rPr>
                <w:sz w:val="24"/>
                <w:szCs w:val="24"/>
              </w:rPr>
            </w:pPr>
            <w:r w:rsidRPr="00B02DF3">
              <w:rPr>
                <w:sz w:val="24"/>
                <w:szCs w:val="24"/>
              </w:rPr>
              <w:t>Energy and non-energy benefits</w:t>
            </w:r>
            <w:r w:rsidR="00DC09EE" w:rsidRPr="00B02DF3">
              <w:rPr>
                <w:sz w:val="24"/>
                <w:szCs w:val="24"/>
              </w:rPr>
              <w:t>, reduction in cost</w:t>
            </w:r>
          </w:p>
        </w:tc>
        <w:tc>
          <w:tcPr>
            <w:tcW w:w="3085" w:type="dxa"/>
            <w:hideMark/>
          </w:tcPr>
          <w:p w14:paraId="3A891E21" w14:textId="6A9EACA3" w:rsidR="00C56B48" w:rsidRPr="00B02DF3" w:rsidRDefault="00C56B48">
            <w:pPr>
              <w:rPr>
                <w:sz w:val="24"/>
                <w:szCs w:val="24"/>
              </w:rPr>
            </w:pPr>
            <w:r w:rsidRPr="00B02DF3">
              <w:rPr>
                <w:sz w:val="24"/>
                <w:szCs w:val="24"/>
              </w:rPr>
              <w:t>Distribution of EE program participation and incentive dollars</w:t>
            </w:r>
          </w:p>
        </w:tc>
        <w:tc>
          <w:tcPr>
            <w:tcW w:w="3707" w:type="dxa"/>
            <w:hideMark/>
          </w:tcPr>
          <w:p w14:paraId="3955A10B" w14:textId="689D24A3" w:rsidR="00C56B48" w:rsidRPr="00B02DF3" w:rsidRDefault="00C56B48" w:rsidP="00C56B48">
            <w:pPr>
              <w:rPr>
                <w:sz w:val="24"/>
                <w:szCs w:val="24"/>
              </w:rPr>
            </w:pPr>
            <w:r w:rsidRPr="00B02DF3">
              <w:rPr>
                <w:sz w:val="24"/>
                <w:szCs w:val="24"/>
              </w:rPr>
              <w:t>Track the distribution of EE program participation across customer types</w:t>
            </w:r>
          </w:p>
        </w:tc>
        <w:tc>
          <w:tcPr>
            <w:tcW w:w="2014" w:type="dxa"/>
            <w:noWrap/>
            <w:hideMark/>
          </w:tcPr>
          <w:p w14:paraId="251000A9" w14:textId="77777777" w:rsidR="00C56B48" w:rsidRPr="00B02DF3" w:rsidRDefault="00C56B48">
            <w:pPr>
              <w:rPr>
                <w:sz w:val="24"/>
                <w:szCs w:val="24"/>
              </w:rPr>
            </w:pPr>
            <w:r w:rsidRPr="00B02DF3">
              <w:rPr>
                <w:sz w:val="24"/>
                <w:szCs w:val="24"/>
              </w:rPr>
              <w:t>Utility program data</w:t>
            </w:r>
          </w:p>
        </w:tc>
        <w:tc>
          <w:tcPr>
            <w:tcW w:w="1894" w:type="dxa"/>
            <w:noWrap/>
            <w:hideMark/>
          </w:tcPr>
          <w:p w14:paraId="71F608D1" w14:textId="77777777" w:rsidR="00C56B48" w:rsidRPr="00B02DF3" w:rsidRDefault="00C56B48" w:rsidP="00C56B48">
            <w:pPr>
              <w:rPr>
                <w:sz w:val="24"/>
                <w:szCs w:val="24"/>
              </w:rPr>
            </w:pPr>
            <w:r w:rsidRPr="00B02DF3">
              <w:rPr>
                <w:sz w:val="24"/>
                <w:szCs w:val="24"/>
              </w:rPr>
              <w:t>2021</w:t>
            </w:r>
          </w:p>
        </w:tc>
      </w:tr>
      <w:tr w:rsidR="00DC09EE" w:rsidRPr="00CB1209" w14:paraId="414A8D9F" w14:textId="77777777" w:rsidTr="00750F39">
        <w:trPr>
          <w:trHeight w:val="803"/>
        </w:trPr>
        <w:tc>
          <w:tcPr>
            <w:tcW w:w="2499" w:type="dxa"/>
          </w:tcPr>
          <w:p w14:paraId="2F037D78" w14:textId="6BBD4674" w:rsidR="00DC09EE" w:rsidRPr="00B02DF3" w:rsidRDefault="00DC09EE">
            <w:pPr>
              <w:rPr>
                <w:sz w:val="24"/>
                <w:szCs w:val="24"/>
              </w:rPr>
            </w:pPr>
            <w:r w:rsidRPr="00B02DF3">
              <w:rPr>
                <w:sz w:val="24"/>
                <w:szCs w:val="24"/>
              </w:rPr>
              <w:t>Public Health, Environment</w:t>
            </w:r>
          </w:p>
        </w:tc>
        <w:tc>
          <w:tcPr>
            <w:tcW w:w="3085" w:type="dxa"/>
          </w:tcPr>
          <w:p w14:paraId="33F127F5" w14:textId="5604159C" w:rsidR="00DC09EE" w:rsidRPr="00B02DF3" w:rsidRDefault="007855C9">
            <w:pPr>
              <w:rPr>
                <w:sz w:val="24"/>
                <w:szCs w:val="24"/>
              </w:rPr>
            </w:pPr>
            <w:r w:rsidRPr="00B02DF3">
              <w:rPr>
                <w:sz w:val="24"/>
                <w:szCs w:val="24"/>
              </w:rPr>
              <w:t>Fuel Switching</w:t>
            </w:r>
          </w:p>
        </w:tc>
        <w:tc>
          <w:tcPr>
            <w:tcW w:w="3707" w:type="dxa"/>
          </w:tcPr>
          <w:p w14:paraId="4596A0CB" w14:textId="5C6A5F4A" w:rsidR="00DC09EE" w:rsidRPr="00B02DF3" w:rsidRDefault="007855C9" w:rsidP="00C56B48">
            <w:pPr>
              <w:rPr>
                <w:sz w:val="24"/>
                <w:szCs w:val="24"/>
              </w:rPr>
            </w:pPr>
            <w:r w:rsidRPr="00B02DF3">
              <w:rPr>
                <w:sz w:val="24"/>
                <w:szCs w:val="24"/>
              </w:rPr>
              <w:t>EE loan program to fund conversion to electric heating, cooking, transportation</w:t>
            </w:r>
          </w:p>
        </w:tc>
        <w:tc>
          <w:tcPr>
            <w:tcW w:w="2014" w:type="dxa"/>
            <w:noWrap/>
          </w:tcPr>
          <w:p w14:paraId="3EA36DD4" w14:textId="2C51A791" w:rsidR="00DC09EE" w:rsidRPr="00B02DF3" w:rsidRDefault="007855C9">
            <w:pPr>
              <w:rPr>
                <w:sz w:val="24"/>
                <w:szCs w:val="24"/>
              </w:rPr>
            </w:pPr>
            <w:r w:rsidRPr="00B02DF3">
              <w:rPr>
                <w:sz w:val="24"/>
                <w:szCs w:val="24"/>
              </w:rPr>
              <w:t>Utility program data</w:t>
            </w:r>
          </w:p>
        </w:tc>
        <w:tc>
          <w:tcPr>
            <w:tcW w:w="1894" w:type="dxa"/>
            <w:noWrap/>
          </w:tcPr>
          <w:p w14:paraId="1EB92EF1" w14:textId="609BB14F" w:rsidR="00DC09EE" w:rsidRPr="00B02DF3" w:rsidRDefault="007855C9" w:rsidP="00C56B48">
            <w:pPr>
              <w:rPr>
                <w:sz w:val="24"/>
                <w:szCs w:val="24"/>
              </w:rPr>
            </w:pPr>
            <w:r w:rsidRPr="00B02DF3">
              <w:rPr>
                <w:sz w:val="24"/>
                <w:szCs w:val="24"/>
              </w:rPr>
              <w:t>n/a</w:t>
            </w:r>
          </w:p>
        </w:tc>
      </w:tr>
    </w:tbl>
    <w:p w14:paraId="0A5AD646" w14:textId="3D4E8000" w:rsidR="00750F39" w:rsidRPr="00CB1209" w:rsidRDefault="00750F39" w:rsidP="00750F39">
      <w:pPr>
        <w:tabs>
          <w:tab w:val="left" w:pos="2451"/>
        </w:tabs>
        <w:rPr>
          <w:sz w:val="24"/>
          <w:szCs w:val="24"/>
        </w:rPr>
      </w:pPr>
    </w:p>
    <w:sectPr w:rsidR="00750F39" w:rsidRPr="00CB1209" w:rsidSect="00750F3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3757" w14:textId="77777777" w:rsidR="00C15B9A" w:rsidRDefault="00C15B9A" w:rsidP="00750F39">
      <w:pPr>
        <w:spacing w:after="0" w:line="240" w:lineRule="auto"/>
      </w:pPr>
      <w:r>
        <w:separator/>
      </w:r>
    </w:p>
  </w:endnote>
  <w:endnote w:type="continuationSeparator" w:id="0">
    <w:p w14:paraId="0D8DED6C" w14:textId="77777777" w:rsidR="00C15B9A" w:rsidRDefault="00C15B9A" w:rsidP="0075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EC3D" w14:textId="2BA1A612" w:rsidR="00DF6D57" w:rsidRDefault="00CB1209">
    <w:pPr>
      <w:pStyle w:val="Footer"/>
    </w:pPr>
    <w:r>
      <w:t>12/</w:t>
    </w:r>
    <w:r w:rsidR="00DF6D57">
      <w:t>22</w:t>
    </w:r>
    <w:r>
      <w:t xml:space="preserve">/21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64A8" w14:textId="77777777" w:rsidR="00C15B9A" w:rsidRDefault="00C15B9A" w:rsidP="00750F39">
      <w:pPr>
        <w:spacing w:after="0" w:line="240" w:lineRule="auto"/>
      </w:pPr>
      <w:r>
        <w:separator/>
      </w:r>
    </w:p>
  </w:footnote>
  <w:footnote w:type="continuationSeparator" w:id="0">
    <w:p w14:paraId="381CC75F" w14:textId="77777777" w:rsidR="00C15B9A" w:rsidRDefault="00C15B9A" w:rsidP="0075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3BF7" w14:textId="0F273AA4" w:rsidR="00750F39" w:rsidRPr="001D51E2" w:rsidRDefault="009370A9" w:rsidP="00750F39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PORT ANGELES</w:t>
    </w:r>
    <w:r w:rsidR="00750F39" w:rsidRPr="001D51E2">
      <w:rPr>
        <w:sz w:val="36"/>
        <w:szCs w:val="36"/>
      </w:rPr>
      <w:t xml:space="preserve"> CETA CEIP PUBLIC INPUT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60D23"/>
    <w:multiLevelType w:val="hybridMultilevel"/>
    <w:tmpl w:val="3D40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01468"/>
    <w:multiLevelType w:val="hybridMultilevel"/>
    <w:tmpl w:val="3A9A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C58"/>
    <w:multiLevelType w:val="hybridMultilevel"/>
    <w:tmpl w:val="5DBC6546"/>
    <w:lvl w:ilvl="0" w:tplc="5D20FF28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31F8C"/>
    <w:multiLevelType w:val="hybridMultilevel"/>
    <w:tmpl w:val="14208540"/>
    <w:lvl w:ilvl="0" w:tplc="FE466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70EFA"/>
    <w:multiLevelType w:val="hybridMultilevel"/>
    <w:tmpl w:val="9662B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F7A65"/>
    <w:multiLevelType w:val="hybridMultilevel"/>
    <w:tmpl w:val="8012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E4123"/>
    <w:multiLevelType w:val="hybridMultilevel"/>
    <w:tmpl w:val="58A8A0C2"/>
    <w:lvl w:ilvl="0" w:tplc="5D20FF28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A63"/>
    <w:multiLevelType w:val="hybridMultilevel"/>
    <w:tmpl w:val="384E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A60C4"/>
    <w:multiLevelType w:val="hybridMultilevel"/>
    <w:tmpl w:val="2DA8DAAC"/>
    <w:lvl w:ilvl="0" w:tplc="5D20FF28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68"/>
    <w:rsid w:val="000469D7"/>
    <w:rsid w:val="001378C0"/>
    <w:rsid w:val="0014616B"/>
    <w:rsid w:val="00191782"/>
    <w:rsid w:val="001943AF"/>
    <w:rsid w:val="001D51E2"/>
    <w:rsid w:val="00296CB0"/>
    <w:rsid w:val="00356502"/>
    <w:rsid w:val="003807D5"/>
    <w:rsid w:val="003B67BF"/>
    <w:rsid w:val="003C439F"/>
    <w:rsid w:val="00434BB4"/>
    <w:rsid w:val="00567E04"/>
    <w:rsid w:val="005F0529"/>
    <w:rsid w:val="00687947"/>
    <w:rsid w:val="006E61B5"/>
    <w:rsid w:val="00730F38"/>
    <w:rsid w:val="00741459"/>
    <w:rsid w:val="00750F39"/>
    <w:rsid w:val="00765122"/>
    <w:rsid w:val="007855C9"/>
    <w:rsid w:val="00790F39"/>
    <w:rsid w:val="007969C1"/>
    <w:rsid w:val="007E3EAC"/>
    <w:rsid w:val="00851814"/>
    <w:rsid w:val="009370A9"/>
    <w:rsid w:val="009702A4"/>
    <w:rsid w:val="0099490D"/>
    <w:rsid w:val="00A3143D"/>
    <w:rsid w:val="00A66C02"/>
    <w:rsid w:val="00B011CF"/>
    <w:rsid w:val="00B02DF3"/>
    <w:rsid w:val="00B11084"/>
    <w:rsid w:val="00B76751"/>
    <w:rsid w:val="00C15B9A"/>
    <w:rsid w:val="00C217E6"/>
    <w:rsid w:val="00C56B48"/>
    <w:rsid w:val="00C963E0"/>
    <w:rsid w:val="00CB1209"/>
    <w:rsid w:val="00D1731E"/>
    <w:rsid w:val="00DC09EE"/>
    <w:rsid w:val="00DF6D57"/>
    <w:rsid w:val="00E22D68"/>
    <w:rsid w:val="00E6789F"/>
    <w:rsid w:val="00FE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E1E4"/>
  <w15:chartTrackingRefBased/>
  <w15:docId w15:val="{B20D9729-FB3C-4372-B529-9237E5CD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7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F39"/>
  </w:style>
  <w:style w:type="paragraph" w:styleId="Footer">
    <w:name w:val="footer"/>
    <w:basedOn w:val="Normal"/>
    <w:link w:val="FooterChar"/>
    <w:uiPriority w:val="99"/>
    <w:unhideWhenUsed/>
    <w:rsid w:val="00750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F39"/>
  </w:style>
  <w:style w:type="character" w:styleId="Hyperlink">
    <w:name w:val="Hyperlink"/>
    <w:basedOn w:val="DefaultParagraphFont"/>
    <w:uiPriority w:val="99"/>
    <w:unhideWhenUsed/>
    <w:rsid w:val="00DF6D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ing@cityofpa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effpud.org/wp-content/uploads/2021/12/CETA-CEIP-SURVEY-JPUD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O'Donnell</dc:creator>
  <cp:keywords/>
  <dc:description/>
  <cp:lastModifiedBy>Gregg King</cp:lastModifiedBy>
  <cp:revision>7</cp:revision>
  <dcterms:created xsi:type="dcterms:W3CDTF">2021-12-20T23:01:00Z</dcterms:created>
  <dcterms:modified xsi:type="dcterms:W3CDTF">2021-12-22T16:46:00Z</dcterms:modified>
</cp:coreProperties>
</file>